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E0" w:rsidRPr="005E1547" w:rsidRDefault="00516744" w:rsidP="00C72065">
      <w:pPr>
        <w:jc w:val="center"/>
        <w:rPr>
          <w:rFonts w:ascii="Times New Roman" w:eastAsia="黑体" w:hAnsi="Times New Roman" w:cs="Times New Roman"/>
          <w:color w:val="000000" w:themeColor="text1"/>
          <w:sz w:val="36"/>
          <w:szCs w:val="30"/>
        </w:rPr>
      </w:pPr>
      <w:r w:rsidRPr="005E1547">
        <w:rPr>
          <w:rFonts w:ascii="Times New Roman" w:eastAsia="黑体" w:hAnsi="Times New Roman" w:cs="Times New Roman" w:hint="eastAsia"/>
          <w:color w:val="000000" w:themeColor="text1"/>
          <w:sz w:val="36"/>
          <w:szCs w:val="30"/>
        </w:rPr>
        <w:t>2019</w:t>
      </w:r>
      <w:r w:rsidR="004B3A0F" w:rsidRPr="005E1547">
        <w:rPr>
          <w:rFonts w:ascii="Times New Roman" w:eastAsia="黑体" w:hAnsi="Times New Roman" w:cs="Times New Roman" w:hint="eastAsia"/>
          <w:color w:val="000000" w:themeColor="text1"/>
          <w:sz w:val="36"/>
          <w:szCs w:val="30"/>
        </w:rPr>
        <w:t>年校级科研项目立项推荐汇总表</w:t>
      </w:r>
    </w:p>
    <w:p w:rsidR="00516744" w:rsidRDefault="00516744" w:rsidP="00516744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F057E0" w:rsidRPr="007E4533" w:rsidRDefault="004B3A0F" w:rsidP="00A23241">
      <w:pPr>
        <w:widowControl/>
        <w:spacing w:afterLines="10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学院（盖章）：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 w:rsidR="00463173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电气工程学院</w:t>
      </w:r>
      <w:r w:rsidR="0051674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</w:t>
      </w:r>
      <w:r w:rsidR="00EF21AA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</w:t>
      </w:r>
      <w:r w:rsidR="0051674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报送日期：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 w:rsidR="00463173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2020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年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 w:rsidR="00463173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11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月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 w:rsidR="00A8392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24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日</w:t>
      </w:r>
    </w:p>
    <w:tbl>
      <w:tblPr>
        <w:tblW w:w="13166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5442"/>
        <w:gridCol w:w="1689"/>
        <w:gridCol w:w="1637"/>
        <w:gridCol w:w="1209"/>
        <w:gridCol w:w="1360"/>
      </w:tblGrid>
      <w:tr w:rsidR="00FA262C" w:rsidRPr="00A23241" w:rsidTr="00FA262C">
        <w:trPr>
          <w:trHeight w:val="822"/>
          <w:jc w:val="center"/>
        </w:trPr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所在学院</w:t>
            </w: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689" w:type="dxa"/>
            <w:vAlign w:val="center"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项目编号</w:t>
            </w:r>
          </w:p>
        </w:tc>
        <w:tc>
          <w:tcPr>
            <w:tcW w:w="1637" w:type="dxa"/>
            <w:vAlign w:val="center"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项目</w:t>
            </w:r>
          </w:p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209" w:type="dxa"/>
            <w:vAlign w:val="center"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工号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资助</w:t>
            </w:r>
          </w:p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b/>
                <w:color w:val="000000" w:themeColor="text1"/>
                <w:sz w:val="24"/>
                <w:szCs w:val="24"/>
              </w:rPr>
              <w:t>经费（元）</w:t>
            </w:r>
          </w:p>
        </w:tc>
      </w:tr>
      <w:tr w:rsidR="00FA262C" w:rsidRPr="00A23241" w:rsidTr="00FA262C">
        <w:trPr>
          <w:trHeight w:val="765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B20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基于人工神经网络的光伏阵列在线状态检测与故障诊断研究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汪石农</w:t>
            </w:r>
            <w:proofErr w:type="gramEnd"/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020067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</w:tr>
      <w:tr w:rsidR="00FA262C" w:rsidRPr="00A23241" w:rsidTr="00FA262C">
        <w:trPr>
          <w:trHeight w:val="765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执行器多故障和通信受约束背景下异构多智能</w:t>
            </w:r>
            <w:proofErr w:type="gramStart"/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体系统</w:t>
            </w:r>
            <w:proofErr w:type="gramEnd"/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迭代学习跟踪控制研究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邓雄峰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1908077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基于二</w:t>
            </w: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维材料</w:t>
            </w:r>
            <w:proofErr w:type="gramEnd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的增强吸收效应及应用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吴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俊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2006030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大数据驱动的微电网优化调度及其稳定性研究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陆华才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020109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6B0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7E02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复杂工况下生产线高效协同输送创新研发及示范应用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陈孟元</w:t>
            </w:r>
            <w:proofErr w:type="gramEnd"/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纤维及织物基柔性可穿戴天线的制备与应用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孙瑞霞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020077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B20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三全育人</w:t>
            </w: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视域下的工科院校专业课</w:t>
            </w:r>
            <w:proofErr w:type="gramStart"/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隐性思政教育之创新</w:t>
            </w:r>
            <w:proofErr w:type="gramEnd"/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研究</w:t>
            </w: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以安徽工程大学为例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张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红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020007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《通信原理》课程思政体系的建构研究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吕</w:t>
            </w:r>
            <w:proofErr w:type="gramEnd"/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020044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三全育人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新格局下通信工程专业课程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课程育人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的探索与实践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Xjky02202009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俞晓峰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020058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lastRenderedPageBreak/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以学科竞赛为导向，以赛促学，提升学生创新能力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邱月友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020059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三全育人视域下科研育人模式的改革与创新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姚伟新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020091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课程思政在</w:t>
            </w:r>
            <w:proofErr w:type="gramEnd"/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三全育人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综合改革中的实践与探索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——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以《信号与系统》课程为例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王</w:t>
            </w: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世</w:t>
            </w:r>
            <w:proofErr w:type="gramEnd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芳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020102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三全育人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背景下依托学科竞赛的电子类专业实践教学体系的构建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邱意敏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004022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全过程育人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视域的高校志愿服务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四维向度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黎新宏</w:t>
            </w:r>
            <w:proofErr w:type="gramEnd"/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004051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新时代高校组织育人的功能及实现路径探析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翁文香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020116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sz w:val="24"/>
                <w:szCs w:val="24"/>
              </w:rPr>
              <w:t>探究习近平人生观及对思想政治教育的启示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EF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吉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020128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旅游学在</w:t>
            </w:r>
            <w:proofErr w:type="gramStart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高校思政管理</w:t>
            </w:r>
            <w:proofErr w:type="gramEnd"/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育人中的实践探究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</w:t>
            </w:r>
            <w:r w:rsidR="00A23241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朱雪梅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2008073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829" w:type="dxa"/>
            <w:shd w:val="clear" w:color="auto" w:fill="auto"/>
            <w:noWrap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电气工程学院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基于数据分析新时代高校学生管理模式创新探究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sz w:val="24"/>
                <w:szCs w:val="24"/>
              </w:rPr>
              <w:t>Xjky0220201</w:t>
            </w:r>
            <w:r w:rsidR="00A23241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钱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涛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A262C" w:rsidRPr="00A23241" w:rsidRDefault="00FA262C" w:rsidP="00DC3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2008075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A2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23241"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A262C" w:rsidRPr="00A23241" w:rsidTr="00FA262C">
        <w:trPr>
          <w:trHeight w:val="766"/>
          <w:jc w:val="center"/>
        </w:trPr>
        <w:tc>
          <w:tcPr>
            <w:tcW w:w="11806" w:type="dxa"/>
            <w:gridSpan w:val="5"/>
            <w:shd w:val="clear" w:color="auto" w:fill="auto"/>
            <w:noWrap/>
            <w:vAlign w:val="center"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A262C" w:rsidRPr="00A23241" w:rsidRDefault="00FA262C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295000</w:t>
            </w:r>
          </w:p>
        </w:tc>
      </w:tr>
    </w:tbl>
    <w:p w:rsidR="00FA08D5" w:rsidRPr="007E4533" w:rsidRDefault="00FA08D5" w:rsidP="00FA08D5">
      <w:pPr>
        <w:widowControl/>
        <w:ind w:firstLineChars="200" w:firstLine="56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p w:rsidR="00F057E0" w:rsidRPr="007E4533" w:rsidRDefault="00F057E0" w:rsidP="00F057E0">
      <w:pPr>
        <w:jc w:val="righ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p w:rsidR="00F057E0" w:rsidRPr="007E4533" w:rsidRDefault="00F057E0" w:rsidP="00F057E0">
      <w:pPr>
        <w:jc w:val="righ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sectPr w:rsidR="00F057E0" w:rsidRPr="007E4533" w:rsidSect="005E1547">
      <w:pgSz w:w="16838" w:h="11906" w:orient="landscape"/>
      <w:pgMar w:top="1080" w:right="1440" w:bottom="108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6C" w:rsidRDefault="00AD5D6C" w:rsidP="00F057E0">
      <w:r>
        <w:separator/>
      </w:r>
    </w:p>
  </w:endnote>
  <w:endnote w:type="continuationSeparator" w:id="0">
    <w:p w:rsidR="00AD5D6C" w:rsidRDefault="00AD5D6C" w:rsidP="00F0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6C" w:rsidRDefault="00AD5D6C" w:rsidP="00F057E0">
      <w:r>
        <w:separator/>
      </w:r>
    </w:p>
  </w:footnote>
  <w:footnote w:type="continuationSeparator" w:id="0">
    <w:p w:rsidR="00AD5D6C" w:rsidRDefault="00AD5D6C" w:rsidP="00F05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165"/>
    <w:rsid w:val="000572DB"/>
    <w:rsid w:val="000A2F21"/>
    <w:rsid w:val="000D068A"/>
    <w:rsid w:val="000D1E19"/>
    <w:rsid w:val="000E043A"/>
    <w:rsid w:val="000F5518"/>
    <w:rsid w:val="00104B24"/>
    <w:rsid w:val="001232D2"/>
    <w:rsid w:val="00151F98"/>
    <w:rsid w:val="00191AF7"/>
    <w:rsid w:val="001B272B"/>
    <w:rsid w:val="001D0B3F"/>
    <w:rsid w:val="001D2247"/>
    <w:rsid w:val="001E5788"/>
    <w:rsid w:val="002338EF"/>
    <w:rsid w:val="002834DD"/>
    <w:rsid w:val="0029164A"/>
    <w:rsid w:val="002951F6"/>
    <w:rsid w:val="002F3C38"/>
    <w:rsid w:val="00300060"/>
    <w:rsid w:val="003270A0"/>
    <w:rsid w:val="00340ADD"/>
    <w:rsid w:val="00381682"/>
    <w:rsid w:val="00391D6B"/>
    <w:rsid w:val="003A61F4"/>
    <w:rsid w:val="003E3828"/>
    <w:rsid w:val="00463173"/>
    <w:rsid w:val="00476028"/>
    <w:rsid w:val="00482745"/>
    <w:rsid w:val="00493C05"/>
    <w:rsid w:val="00495457"/>
    <w:rsid w:val="004B3A0F"/>
    <w:rsid w:val="004B6DD7"/>
    <w:rsid w:val="00504C86"/>
    <w:rsid w:val="00516744"/>
    <w:rsid w:val="00540905"/>
    <w:rsid w:val="005873DB"/>
    <w:rsid w:val="005D5CB0"/>
    <w:rsid w:val="005E1547"/>
    <w:rsid w:val="005E5135"/>
    <w:rsid w:val="005F3B2E"/>
    <w:rsid w:val="005F7569"/>
    <w:rsid w:val="00643CEE"/>
    <w:rsid w:val="006804A2"/>
    <w:rsid w:val="00690FA8"/>
    <w:rsid w:val="006A3FC4"/>
    <w:rsid w:val="006B0855"/>
    <w:rsid w:val="006F1181"/>
    <w:rsid w:val="00745165"/>
    <w:rsid w:val="00747E11"/>
    <w:rsid w:val="00754BF9"/>
    <w:rsid w:val="007927A4"/>
    <w:rsid w:val="007B5594"/>
    <w:rsid w:val="007C6C71"/>
    <w:rsid w:val="007E0259"/>
    <w:rsid w:val="007E4533"/>
    <w:rsid w:val="008248C0"/>
    <w:rsid w:val="008336B7"/>
    <w:rsid w:val="00890784"/>
    <w:rsid w:val="008C662E"/>
    <w:rsid w:val="0096209B"/>
    <w:rsid w:val="00990440"/>
    <w:rsid w:val="00A14307"/>
    <w:rsid w:val="00A23241"/>
    <w:rsid w:val="00A83928"/>
    <w:rsid w:val="00A9359F"/>
    <w:rsid w:val="00AA0FD3"/>
    <w:rsid w:val="00AB0A20"/>
    <w:rsid w:val="00AD5604"/>
    <w:rsid w:val="00AD5D6C"/>
    <w:rsid w:val="00B14559"/>
    <w:rsid w:val="00B208E1"/>
    <w:rsid w:val="00B316E1"/>
    <w:rsid w:val="00B4003A"/>
    <w:rsid w:val="00B60BE8"/>
    <w:rsid w:val="00B64125"/>
    <w:rsid w:val="00BD1DD1"/>
    <w:rsid w:val="00BF1C76"/>
    <w:rsid w:val="00C25414"/>
    <w:rsid w:val="00C72065"/>
    <w:rsid w:val="00CB383B"/>
    <w:rsid w:val="00CD34A2"/>
    <w:rsid w:val="00D05497"/>
    <w:rsid w:val="00D10224"/>
    <w:rsid w:val="00D2467A"/>
    <w:rsid w:val="00D33EAD"/>
    <w:rsid w:val="00D626AB"/>
    <w:rsid w:val="00DD1204"/>
    <w:rsid w:val="00DF6B88"/>
    <w:rsid w:val="00E26AE4"/>
    <w:rsid w:val="00E7285E"/>
    <w:rsid w:val="00E80DB4"/>
    <w:rsid w:val="00EE04B2"/>
    <w:rsid w:val="00EF21AA"/>
    <w:rsid w:val="00F057E0"/>
    <w:rsid w:val="00F12CF5"/>
    <w:rsid w:val="00F357D9"/>
    <w:rsid w:val="00F47673"/>
    <w:rsid w:val="00F662C4"/>
    <w:rsid w:val="00FA08D5"/>
    <w:rsid w:val="00FA262C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7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F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F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孙刚</dc:creator>
  <cp:keywords/>
  <dc:description/>
  <cp:lastModifiedBy>微软用户</cp:lastModifiedBy>
  <cp:revision>18</cp:revision>
  <cp:lastPrinted>2019-11-13T03:58:00Z</cp:lastPrinted>
  <dcterms:created xsi:type="dcterms:W3CDTF">2019-11-13T03:51:00Z</dcterms:created>
  <dcterms:modified xsi:type="dcterms:W3CDTF">2020-11-20T08:48:00Z</dcterms:modified>
</cp:coreProperties>
</file>